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298" w:rsidRDefault="005F1401">
      <w:pPr>
        <w:pBdr>
          <w:top w:val="single" w:sz="6" w:space="1" w:color="000000"/>
          <w:left w:val="single" w:sz="6" w:space="1" w:color="000000"/>
          <w:bottom w:val="single" w:sz="6" w:space="1" w:color="000000"/>
          <w:right w:val="single" w:sz="6" w:space="1" w:color="000000"/>
        </w:pBdr>
        <w:spacing w:line="288" w:lineRule="auto"/>
        <w:ind w:right="49"/>
        <w:jc w:val="center"/>
        <w:rPr>
          <w:rFonts w:ascii="Times New Roman" w:hAnsi="Times New Roman"/>
        </w:rPr>
      </w:pPr>
      <w:bookmarkStart w:id="0" w:name="_GoBack"/>
      <w:bookmarkEnd w:id="0"/>
      <w:r>
        <w:rPr>
          <w:rFonts w:ascii="Times New Roman" w:hAnsi="Times New Roman"/>
          <w:b/>
        </w:rPr>
        <w:t>PROTOCOLLO DI INTESA</w:t>
      </w:r>
    </w:p>
    <w:p w:rsidR="00C45298" w:rsidRDefault="005F1401">
      <w:pPr>
        <w:spacing w:before="72" w:line="252" w:lineRule="auto"/>
        <w:ind w:right="49"/>
        <w:jc w:val="center"/>
        <w:rPr>
          <w:rFonts w:ascii="Times New Roman" w:hAnsi="Times New Roman"/>
          <w:b/>
          <w:i/>
        </w:rPr>
      </w:pPr>
      <w:r>
        <w:rPr>
          <w:rFonts w:ascii="Times New Roman" w:hAnsi="Times New Roman"/>
        </w:rPr>
        <w:t>TRA</w:t>
      </w:r>
    </w:p>
    <w:p w:rsidR="00C45298" w:rsidRDefault="005F1401">
      <w:pPr>
        <w:spacing w:before="72" w:line="252" w:lineRule="auto"/>
        <w:ind w:right="49"/>
        <w:jc w:val="center"/>
        <w:rPr>
          <w:rFonts w:ascii="Times New Roman" w:hAnsi="Times New Roman"/>
          <w:i/>
        </w:rPr>
      </w:pPr>
      <w:r>
        <w:rPr>
          <w:rFonts w:ascii="Times New Roman" w:hAnsi="Times New Roman"/>
          <w:b/>
          <w:i/>
        </w:rPr>
        <w:t>IL TRIBUNALE DI RIETI</w:t>
      </w:r>
    </w:p>
    <w:p w:rsidR="00C45298" w:rsidRDefault="005F1401">
      <w:pPr>
        <w:spacing w:before="72" w:line="252" w:lineRule="auto"/>
        <w:ind w:right="49"/>
        <w:jc w:val="center"/>
        <w:rPr>
          <w:rFonts w:ascii="Times New Roman" w:hAnsi="Times New Roman"/>
          <w:b/>
          <w:i/>
        </w:rPr>
      </w:pPr>
      <w:proofErr w:type="gramStart"/>
      <w:r>
        <w:rPr>
          <w:rFonts w:ascii="Times New Roman" w:hAnsi="Times New Roman"/>
          <w:i/>
        </w:rPr>
        <w:t>e</w:t>
      </w:r>
      <w:proofErr w:type="gramEnd"/>
    </w:p>
    <w:p w:rsidR="00C45298" w:rsidRDefault="005F1401">
      <w:pPr>
        <w:spacing w:before="72" w:line="252" w:lineRule="auto"/>
        <w:ind w:right="49"/>
        <w:jc w:val="center"/>
        <w:rPr>
          <w:rFonts w:ascii="Times New Roman" w:hAnsi="Times New Roman"/>
          <w:i/>
        </w:rPr>
      </w:pPr>
      <w:r>
        <w:rPr>
          <w:rFonts w:ascii="Times New Roman" w:hAnsi="Times New Roman"/>
          <w:b/>
          <w:i/>
        </w:rPr>
        <w:t xml:space="preserve">IL PROCURATORE DELLA REPUBBLICA PRESSO IL TRIBUNALE DI RIETI </w:t>
      </w:r>
    </w:p>
    <w:p w:rsidR="00C45298" w:rsidRDefault="005F1401">
      <w:pPr>
        <w:spacing w:before="72" w:line="252" w:lineRule="auto"/>
        <w:ind w:right="49"/>
        <w:jc w:val="center"/>
        <w:rPr>
          <w:rFonts w:ascii="Times New Roman" w:hAnsi="Times New Roman"/>
          <w:b/>
          <w:i/>
        </w:rPr>
      </w:pPr>
      <w:proofErr w:type="gramStart"/>
      <w:r>
        <w:rPr>
          <w:rFonts w:ascii="Times New Roman" w:hAnsi="Times New Roman"/>
          <w:i/>
        </w:rPr>
        <w:t>e</w:t>
      </w:r>
      <w:proofErr w:type="gramEnd"/>
    </w:p>
    <w:p w:rsidR="00C45298" w:rsidRDefault="005F1401">
      <w:pPr>
        <w:spacing w:before="72" w:line="252" w:lineRule="auto"/>
        <w:ind w:right="49"/>
        <w:jc w:val="center"/>
        <w:rPr>
          <w:rFonts w:ascii="Times New Roman" w:hAnsi="Times New Roman"/>
          <w:i/>
        </w:rPr>
      </w:pPr>
      <w:r>
        <w:rPr>
          <w:rFonts w:ascii="Times New Roman" w:hAnsi="Times New Roman"/>
          <w:b/>
          <w:i/>
        </w:rPr>
        <w:t>IL CONSIGLIO DELL'ORDINE DEGLI AVVOCATI DI RIETI</w:t>
      </w:r>
    </w:p>
    <w:p w:rsidR="00C45298" w:rsidRDefault="005F1401">
      <w:pPr>
        <w:spacing w:before="72" w:line="252" w:lineRule="auto"/>
        <w:ind w:right="49"/>
        <w:jc w:val="center"/>
        <w:rPr>
          <w:rFonts w:ascii="Times New Roman" w:hAnsi="Times New Roman"/>
          <w:b/>
          <w:i/>
        </w:rPr>
      </w:pPr>
      <w:proofErr w:type="gramStart"/>
      <w:r>
        <w:rPr>
          <w:rFonts w:ascii="Times New Roman" w:hAnsi="Times New Roman"/>
          <w:i/>
        </w:rPr>
        <w:t>e</w:t>
      </w:r>
      <w:proofErr w:type="gramEnd"/>
    </w:p>
    <w:p w:rsidR="00C45298" w:rsidRDefault="005F1401">
      <w:pPr>
        <w:spacing w:before="72" w:line="252" w:lineRule="auto"/>
        <w:ind w:right="49"/>
        <w:jc w:val="center"/>
        <w:rPr>
          <w:rFonts w:ascii="Times New Roman" w:hAnsi="Times New Roman"/>
          <w:b/>
          <w:i/>
        </w:rPr>
      </w:pPr>
      <w:r>
        <w:rPr>
          <w:rFonts w:ascii="Times New Roman" w:hAnsi="Times New Roman"/>
          <w:b/>
          <w:i/>
        </w:rPr>
        <w:t>LA CAMERA PENALE DI RIETI</w:t>
      </w:r>
    </w:p>
    <w:p w:rsidR="00C45298" w:rsidRDefault="005F1401">
      <w:pPr>
        <w:spacing w:before="72" w:line="252" w:lineRule="auto"/>
        <w:ind w:right="49"/>
        <w:jc w:val="center"/>
        <w:rPr>
          <w:rFonts w:ascii="Times New Roman" w:hAnsi="Times New Roman"/>
          <w:b/>
          <w:i/>
        </w:rPr>
      </w:pPr>
      <w:proofErr w:type="gramStart"/>
      <w:r>
        <w:rPr>
          <w:rFonts w:ascii="Times New Roman" w:hAnsi="Times New Roman"/>
          <w:b/>
          <w:i/>
        </w:rPr>
        <w:t>e</w:t>
      </w:r>
      <w:proofErr w:type="gramEnd"/>
    </w:p>
    <w:p w:rsidR="00C45298" w:rsidRDefault="005F1401">
      <w:pPr>
        <w:spacing w:before="72" w:line="252" w:lineRule="auto"/>
        <w:ind w:right="49"/>
        <w:jc w:val="center"/>
        <w:rPr>
          <w:rFonts w:ascii="Times New Roman" w:hAnsi="Times New Roman"/>
          <w:b/>
          <w:i/>
        </w:rPr>
      </w:pPr>
      <w:r>
        <w:rPr>
          <w:rFonts w:ascii="Times New Roman" w:hAnsi="Times New Roman"/>
          <w:b/>
          <w:i/>
        </w:rPr>
        <w:t>ASSOCIAZIONE ITALIANA GIOVANI AVVOCATI SEZIONE DI RIETI</w:t>
      </w:r>
    </w:p>
    <w:p w:rsidR="00C45298" w:rsidRDefault="005F1401">
      <w:pPr>
        <w:spacing w:before="72" w:line="252" w:lineRule="auto"/>
        <w:ind w:right="49"/>
        <w:jc w:val="center"/>
        <w:rPr>
          <w:rFonts w:ascii="Times New Roman" w:hAnsi="Times New Roman"/>
          <w:b/>
          <w:i/>
        </w:rPr>
      </w:pPr>
      <w:proofErr w:type="gramStart"/>
      <w:r>
        <w:rPr>
          <w:rFonts w:ascii="Times New Roman" w:hAnsi="Times New Roman"/>
          <w:b/>
          <w:i/>
        </w:rPr>
        <w:t>e</w:t>
      </w:r>
      <w:proofErr w:type="gramEnd"/>
    </w:p>
    <w:p w:rsidR="00C45298" w:rsidRDefault="005F1401">
      <w:pPr>
        <w:spacing w:before="72" w:line="252" w:lineRule="auto"/>
        <w:ind w:right="49"/>
        <w:jc w:val="center"/>
        <w:rPr>
          <w:rFonts w:ascii="Times New Roman" w:hAnsi="Times New Roman"/>
          <w:b/>
          <w:i/>
        </w:rPr>
      </w:pPr>
      <w:r>
        <w:rPr>
          <w:rFonts w:ascii="Times New Roman" w:hAnsi="Times New Roman"/>
          <w:b/>
          <w:i/>
        </w:rPr>
        <w:t>ASSOCIAZIONE DEI DIFENSORI DI UFFICIO DI RIETI</w:t>
      </w:r>
    </w:p>
    <w:p w:rsidR="00C45298" w:rsidRDefault="00C45298">
      <w:pPr>
        <w:spacing w:before="72" w:line="252" w:lineRule="auto"/>
        <w:ind w:right="49"/>
        <w:jc w:val="center"/>
        <w:rPr>
          <w:rFonts w:ascii="Times New Roman" w:hAnsi="Times New Roman"/>
          <w:b/>
        </w:rPr>
      </w:pPr>
    </w:p>
    <w:p w:rsidR="00C45298" w:rsidRDefault="005F1401">
      <w:pPr>
        <w:spacing w:line="360" w:lineRule="auto"/>
        <w:ind w:right="49"/>
        <w:jc w:val="both"/>
        <w:rPr>
          <w:rFonts w:ascii="Times New Roman" w:hAnsi="Times New Roman"/>
          <w:u w:val="single"/>
        </w:rPr>
      </w:pPr>
      <w:r>
        <w:rPr>
          <w:rFonts w:ascii="Times New Roman" w:hAnsi="Times New Roman"/>
        </w:rPr>
        <w:t xml:space="preserve">Il Presidente del Tribunale di Rieti, il Procuratore della Repubblica presso il Tribunale di </w:t>
      </w:r>
      <w:proofErr w:type="spellStart"/>
      <w:proofErr w:type="gramStart"/>
      <w:r>
        <w:rPr>
          <w:rFonts w:ascii="Times New Roman" w:hAnsi="Times New Roman"/>
        </w:rPr>
        <w:t>Rieti,il</w:t>
      </w:r>
      <w:proofErr w:type="spellEnd"/>
      <w:proofErr w:type="gramEnd"/>
      <w:r>
        <w:rPr>
          <w:rFonts w:ascii="Times New Roman" w:hAnsi="Times New Roman"/>
        </w:rPr>
        <w:t xml:space="preserve"> Presidente del Consiglio dell'Ordine degli Avvocati di </w:t>
      </w:r>
      <w:proofErr w:type="spellStart"/>
      <w:r>
        <w:rPr>
          <w:rFonts w:ascii="Times New Roman" w:hAnsi="Times New Roman"/>
        </w:rPr>
        <w:t>Rieti,il</w:t>
      </w:r>
      <w:proofErr w:type="spellEnd"/>
      <w:r>
        <w:rPr>
          <w:rFonts w:ascii="Times New Roman" w:hAnsi="Times New Roman"/>
        </w:rPr>
        <w:t xml:space="preserve"> Presidente della Camera Penale di </w:t>
      </w:r>
      <w:proofErr w:type="spellStart"/>
      <w:r>
        <w:rPr>
          <w:rFonts w:ascii="Times New Roman" w:hAnsi="Times New Roman"/>
        </w:rPr>
        <w:t>Rieti,il</w:t>
      </w:r>
      <w:proofErr w:type="spellEnd"/>
      <w:r>
        <w:rPr>
          <w:rFonts w:ascii="Times New Roman" w:hAnsi="Times New Roman"/>
        </w:rPr>
        <w:t xml:space="preserve"> Presidente della sezione di Rieti dell’AIGA, il Presidente dell’Associazione difensori di ufficio di Rieti;</w:t>
      </w:r>
    </w:p>
    <w:p w:rsidR="00C45298" w:rsidRDefault="005F1401">
      <w:pPr>
        <w:spacing w:line="360" w:lineRule="auto"/>
        <w:ind w:right="51"/>
        <w:jc w:val="both"/>
        <w:rPr>
          <w:rFonts w:ascii="Times New Roman" w:hAnsi="Times New Roman"/>
          <w:u w:val="single"/>
        </w:rPr>
      </w:pPr>
      <w:proofErr w:type="gramStart"/>
      <w:r>
        <w:rPr>
          <w:rFonts w:ascii="Times New Roman" w:hAnsi="Times New Roman"/>
          <w:u w:val="single"/>
        </w:rPr>
        <w:t>visto</w:t>
      </w:r>
      <w:proofErr w:type="gramEnd"/>
      <w:r>
        <w:rPr>
          <w:rFonts w:ascii="Times New Roman" w:hAnsi="Times New Roman"/>
        </w:rPr>
        <w:t xml:space="preserve"> il DPCM dell’8 marzo 2020 in tema di misure per il contenimento dell’emergenza epidemiologica da COVID-19;</w:t>
      </w:r>
    </w:p>
    <w:p w:rsidR="00C45298" w:rsidRDefault="005F1401">
      <w:pPr>
        <w:spacing w:line="360" w:lineRule="auto"/>
        <w:ind w:right="51"/>
        <w:jc w:val="both"/>
        <w:rPr>
          <w:rFonts w:ascii="Times New Roman" w:hAnsi="Times New Roman"/>
          <w:u w:val="single"/>
        </w:rPr>
      </w:pPr>
      <w:proofErr w:type="gramStart"/>
      <w:r>
        <w:rPr>
          <w:rFonts w:ascii="Times New Roman" w:hAnsi="Times New Roman"/>
          <w:u w:val="single"/>
        </w:rPr>
        <w:t>visto</w:t>
      </w:r>
      <w:proofErr w:type="gramEnd"/>
      <w:r>
        <w:rPr>
          <w:rFonts w:ascii="Times New Roman" w:hAnsi="Times New Roman"/>
        </w:rPr>
        <w:t xml:space="preserve"> il DPCM dell’11 marzo 2020 i</w:t>
      </w:r>
      <w:r>
        <w:rPr>
          <w:rFonts w:ascii="Times New Roman" w:hAnsi="Times New Roman"/>
        </w:rPr>
        <w:t>n tema di misure per il contenimento dell’emergenza epidemiologica da COVID-19;</w:t>
      </w:r>
    </w:p>
    <w:p w:rsidR="00C45298" w:rsidRDefault="005F1401">
      <w:pPr>
        <w:spacing w:line="360" w:lineRule="auto"/>
        <w:ind w:right="51"/>
        <w:jc w:val="both"/>
        <w:rPr>
          <w:rFonts w:ascii="Times New Roman" w:hAnsi="Times New Roman"/>
          <w:u w:val="single"/>
        </w:rPr>
      </w:pPr>
      <w:proofErr w:type="gramStart"/>
      <w:r>
        <w:rPr>
          <w:rFonts w:ascii="Times New Roman" w:hAnsi="Times New Roman"/>
          <w:u w:val="single"/>
        </w:rPr>
        <w:t>viste</w:t>
      </w:r>
      <w:proofErr w:type="gramEnd"/>
      <w:r>
        <w:rPr>
          <w:rFonts w:ascii="Times New Roman" w:hAnsi="Times New Roman"/>
        </w:rPr>
        <w:t xml:space="preserve"> le linee guida ai dirigenti degli uffici giudiziari in ordine a detta emergenza, emanate dal CSM il 6 marzo 2020;</w:t>
      </w:r>
    </w:p>
    <w:p w:rsidR="00C45298" w:rsidRDefault="005F1401">
      <w:pPr>
        <w:spacing w:line="360" w:lineRule="auto"/>
        <w:ind w:right="51"/>
        <w:jc w:val="both"/>
        <w:rPr>
          <w:rFonts w:ascii="Times New Roman" w:hAnsi="Times New Roman"/>
          <w:u w:val="single"/>
        </w:rPr>
      </w:pPr>
      <w:proofErr w:type="gramStart"/>
      <w:r>
        <w:rPr>
          <w:rFonts w:ascii="Times New Roman" w:hAnsi="Times New Roman"/>
          <w:u w:val="single"/>
        </w:rPr>
        <w:t>visto</w:t>
      </w:r>
      <w:proofErr w:type="gramEnd"/>
      <w:r>
        <w:rPr>
          <w:rFonts w:ascii="Times New Roman" w:hAnsi="Times New Roman"/>
        </w:rPr>
        <w:t xml:space="preserve"> il D.L. 8 marzo 2020 n.11;</w:t>
      </w:r>
    </w:p>
    <w:p w:rsidR="00C45298" w:rsidRDefault="005F1401">
      <w:pPr>
        <w:spacing w:line="360" w:lineRule="auto"/>
        <w:ind w:right="51"/>
        <w:jc w:val="both"/>
        <w:rPr>
          <w:rFonts w:ascii="Times New Roman" w:hAnsi="Times New Roman"/>
          <w:u w:val="single"/>
        </w:rPr>
      </w:pPr>
      <w:proofErr w:type="gramStart"/>
      <w:r>
        <w:rPr>
          <w:rFonts w:ascii="Times New Roman" w:hAnsi="Times New Roman"/>
          <w:u w:val="single"/>
        </w:rPr>
        <w:t>ritenuto</w:t>
      </w:r>
      <w:proofErr w:type="gramEnd"/>
      <w:r>
        <w:rPr>
          <w:rFonts w:ascii="Times New Roman" w:hAnsi="Times New Roman"/>
        </w:rPr>
        <w:t xml:space="preserve"> che tutti i provvedimenti richiamati sono ispirati dall’esigenza di limitare l’afflusso degli Avvocati e degli utenti agli uffici giudiziari e i contatti diretti tra persone;</w:t>
      </w:r>
    </w:p>
    <w:p w:rsidR="00C45298" w:rsidRDefault="005F1401">
      <w:pPr>
        <w:spacing w:line="360" w:lineRule="auto"/>
        <w:ind w:right="51"/>
        <w:jc w:val="both"/>
        <w:rPr>
          <w:rFonts w:ascii="Times New Roman" w:hAnsi="Times New Roman"/>
          <w:u w:val="single"/>
        </w:rPr>
      </w:pPr>
      <w:proofErr w:type="gramStart"/>
      <w:r>
        <w:rPr>
          <w:rFonts w:ascii="Times New Roman" w:hAnsi="Times New Roman"/>
          <w:u w:val="single"/>
        </w:rPr>
        <w:t>considerato</w:t>
      </w:r>
      <w:proofErr w:type="gramEnd"/>
      <w:r>
        <w:rPr>
          <w:rFonts w:ascii="Times New Roman" w:hAnsi="Times New Roman"/>
        </w:rPr>
        <w:t xml:space="preserve"> che a tale esigenza è ispirato anche il provvedimento emesso in data</w:t>
      </w:r>
      <w:r>
        <w:rPr>
          <w:rFonts w:ascii="Times New Roman" w:hAnsi="Times New Roman"/>
        </w:rPr>
        <w:t xml:space="preserve"> 09.03.2020 dal Presidente del Tribunale di Rieti, nonché quello del 13.03.2020 e del Procuratore della Repubblica del 10.03.2020;</w:t>
      </w:r>
    </w:p>
    <w:p w:rsidR="00C45298" w:rsidRDefault="005F1401">
      <w:pPr>
        <w:spacing w:line="360" w:lineRule="auto"/>
        <w:ind w:right="51"/>
        <w:jc w:val="both"/>
        <w:rPr>
          <w:rFonts w:ascii="Times New Roman" w:hAnsi="Times New Roman"/>
        </w:rPr>
      </w:pPr>
      <w:proofErr w:type="gramStart"/>
      <w:r>
        <w:rPr>
          <w:rFonts w:ascii="Times New Roman" w:hAnsi="Times New Roman"/>
          <w:u w:val="single"/>
        </w:rPr>
        <w:t>ritenuta</w:t>
      </w:r>
      <w:proofErr w:type="gramEnd"/>
      <w:r>
        <w:rPr>
          <w:rFonts w:ascii="Times New Roman" w:hAnsi="Times New Roman"/>
        </w:rPr>
        <w:t xml:space="preserve"> la necessità di adottare misure che riducano drasticamente l’accesso nelle cancellerie e segreterie da parte degli A</w:t>
      </w:r>
      <w:r>
        <w:rPr>
          <w:rFonts w:ascii="Times New Roman" w:hAnsi="Times New Roman"/>
        </w:rPr>
        <w:t>vvocati e dei loro collaboratori;</w:t>
      </w:r>
    </w:p>
    <w:p w:rsidR="00C45298" w:rsidRDefault="005F1401">
      <w:pPr>
        <w:spacing w:line="360" w:lineRule="auto"/>
        <w:ind w:right="51"/>
        <w:jc w:val="both"/>
        <w:rPr>
          <w:rFonts w:ascii="Times New Roman" w:hAnsi="Times New Roman"/>
          <w:b/>
        </w:rPr>
      </w:pPr>
      <w:r>
        <w:rPr>
          <w:rFonts w:ascii="Times New Roman" w:hAnsi="Times New Roman"/>
        </w:rPr>
        <w:t xml:space="preserve">             </w:t>
      </w:r>
      <w:proofErr w:type="gramStart"/>
      <w:r>
        <w:rPr>
          <w:rFonts w:ascii="Times New Roman" w:hAnsi="Times New Roman"/>
        </w:rPr>
        <w:t>convengono</w:t>
      </w:r>
      <w:proofErr w:type="gramEnd"/>
      <w:r>
        <w:rPr>
          <w:rFonts w:ascii="Times New Roman" w:hAnsi="Times New Roman"/>
        </w:rPr>
        <w:t xml:space="preserve"> sull'opportunità sino alla data del </w:t>
      </w:r>
      <w:r>
        <w:rPr>
          <w:rFonts w:ascii="Times New Roman" w:hAnsi="Times New Roman"/>
          <w:b/>
          <w:color w:val="FF0000"/>
          <w:u w:val="single"/>
        </w:rPr>
        <w:t xml:space="preserve">15.04.2020 </w:t>
      </w:r>
      <w:r>
        <w:rPr>
          <w:rFonts w:ascii="Times New Roman" w:hAnsi="Times New Roman"/>
        </w:rPr>
        <w:t>di</w:t>
      </w:r>
      <w:r>
        <w:rPr>
          <w:rFonts w:ascii="Times New Roman" w:hAnsi="Times New Roman"/>
          <w:color w:val="FF0000"/>
        </w:rPr>
        <w:t xml:space="preserve"> </w:t>
      </w:r>
      <w:r>
        <w:rPr>
          <w:rFonts w:ascii="Times New Roman" w:hAnsi="Times New Roman"/>
        </w:rPr>
        <w:t xml:space="preserve">adottare il seguente </w:t>
      </w:r>
    </w:p>
    <w:p w:rsidR="00C45298" w:rsidRDefault="005F1401">
      <w:pPr>
        <w:spacing w:line="360" w:lineRule="auto"/>
        <w:ind w:right="51"/>
        <w:jc w:val="center"/>
        <w:rPr>
          <w:rFonts w:ascii="Times New Roman" w:hAnsi="Times New Roman"/>
        </w:rPr>
      </w:pPr>
      <w:r>
        <w:rPr>
          <w:rFonts w:ascii="Times New Roman" w:hAnsi="Times New Roman"/>
          <w:b/>
        </w:rPr>
        <w:t>PROTOCOLLO</w:t>
      </w:r>
    </w:p>
    <w:p w:rsidR="00C45298" w:rsidRDefault="005F1401">
      <w:pPr>
        <w:spacing w:line="360" w:lineRule="auto"/>
        <w:ind w:right="51"/>
        <w:jc w:val="center"/>
        <w:rPr>
          <w:rFonts w:ascii="Times New Roman" w:hAnsi="Times New Roman"/>
          <w:b/>
        </w:rPr>
      </w:pPr>
      <w:r>
        <w:rPr>
          <w:rFonts w:ascii="Times New Roman" w:hAnsi="Times New Roman"/>
        </w:rPr>
        <w:t>Nei giudizi penali, i difensori trasmetteranno:</w:t>
      </w:r>
    </w:p>
    <w:p w:rsidR="00C45298" w:rsidRDefault="005F1401">
      <w:pPr>
        <w:numPr>
          <w:ilvl w:val="0"/>
          <w:numId w:val="3"/>
        </w:numPr>
        <w:spacing w:line="360" w:lineRule="auto"/>
        <w:contextualSpacing/>
        <w:jc w:val="both"/>
        <w:rPr>
          <w:rFonts w:ascii="Times New Roman" w:hAnsi="Times New Roman"/>
          <w:b/>
          <w:szCs w:val="24"/>
        </w:rPr>
      </w:pPr>
      <w:proofErr w:type="gramStart"/>
      <w:r>
        <w:rPr>
          <w:rFonts w:ascii="Times New Roman" w:hAnsi="Times New Roman"/>
          <w:b/>
          <w:szCs w:val="24"/>
        </w:rPr>
        <w:t>liste</w:t>
      </w:r>
      <w:proofErr w:type="gramEnd"/>
      <w:r>
        <w:rPr>
          <w:rFonts w:ascii="Times New Roman" w:hAnsi="Times New Roman"/>
          <w:b/>
          <w:szCs w:val="24"/>
        </w:rPr>
        <w:t xml:space="preserve"> testimoniali;</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lastRenderedPageBreak/>
        <w:t>nomine</w:t>
      </w:r>
      <w:proofErr w:type="gramEnd"/>
      <w:r>
        <w:rPr>
          <w:rFonts w:ascii="Times New Roman" w:hAnsi="Times New Roman"/>
          <w:b/>
        </w:rPr>
        <w:t xml:space="preserve"> e rinunce al mandato difensivo;</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memorie</w:t>
      </w:r>
      <w:proofErr w:type="gramEnd"/>
      <w:r>
        <w:rPr>
          <w:rFonts w:ascii="Times New Roman" w:hAnsi="Times New Roman"/>
          <w:b/>
        </w:rPr>
        <w:t xml:space="preserve"> ed allegati;</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richiesta</w:t>
      </w:r>
      <w:proofErr w:type="gramEnd"/>
      <w:r>
        <w:rPr>
          <w:rFonts w:ascii="Times New Roman" w:hAnsi="Times New Roman"/>
          <w:b/>
        </w:rPr>
        <w:t xml:space="preserve"> di interrogatorio a seguito di notifica di avviso conclusioni indagini ex art. 415 bis c.p.p. </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atti</w:t>
      </w:r>
      <w:proofErr w:type="gramEnd"/>
      <w:r>
        <w:rPr>
          <w:rFonts w:ascii="Times New Roman" w:hAnsi="Times New Roman"/>
          <w:b/>
        </w:rPr>
        <w:t xml:space="preserve"> di impugnazione quali atti di appello, istanza di riesame ex art. 309 c.p.p. , appello ex art. 310 c.p.p. opposizione a decre</w:t>
      </w:r>
      <w:r>
        <w:rPr>
          <w:rFonts w:ascii="Times New Roman" w:hAnsi="Times New Roman"/>
          <w:b/>
        </w:rPr>
        <w:t>to penale di condanna, opposizione alla richiesta di archiviazione;</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istanze</w:t>
      </w:r>
      <w:proofErr w:type="gramEnd"/>
      <w:r>
        <w:rPr>
          <w:rFonts w:ascii="Times New Roman" w:hAnsi="Times New Roman"/>
          <w:b/>
        </w:rPr>
        <w:t xml:space="preserve"> di modifica e/o revoca di misure cautelari, anche di autorizzazione per visite mediche, colloqui, ecc.;</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istanze</w:t>
      </w:r>
      <w:proofErr w:type="gramEnd"/>
      <w:r>
        <w:rPr>
          <w:rFonts w:ascii="Times New Roman" w:hAnsi="Times New Roman"/>
          <w:b/>
        </w:rPr>
        <w:t xml:space="preserve"> per la richiesta di giudizio abbreviato o patteggiamento a seguito d</w:t>
      </w:r>
      <w:r>
        <w:rPr>
          <w:rFonts w:ascii="Times New Roman" w:hAnsi="Times New Roman"/>
          <w:b/>
        </w:rPr>
        <w:t xml:space="preserve">i notifica di decreto di giudizio immediato; </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istanza</w:t>
      </w:r>
      <w:proofErr w:type="gramEnd"/>
      <w:r>
        <w:rPr>
          <w:rFonts w:ascii="Times New Roman" w:hAnsi="Times New Roman"/>
          <w:b/>
        </w:rPr>
        <w:t xml:space="preserve"> per la concessione di misure alternative alla detenzione a seguito di notifica di ordine di esecuzione per la carcerazione; </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istanze</w:t>
      </w:r>
      <w:proofErr w:type="gramEnd"/>
      <w:r>
        <w:rPr>
          <w:rFonts w:ascii="Times New Roman" w:hAnsi="Times New Roman"/>
          <w:b/>
        </w:rPr>
        <w:t xml:space="preserve"> di legittimo impedimento, di rinvio o di anticipazione dell'udienza, </w:t>
      </w:r>
      <w:r>
        <w:rPr>
          <w:rFonts w:ascii="Times New Roman" w:hAnsi="Times New Roman"/>
          <w:b/>
        </w:rPr>
        <w:t>di chiamata ad orario, di autorizzazione alla visione e copia degli atti da parte di soggetti non parti processuali;</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deposito</w:t>
      </w:r>
      <w:proofErr w:type="gramEnd"/>
      <w:r>
        <w:rPr>
          <w:rFonts w:ascii="Times New Roman" w:hAnsi="Times New Roman"/>
          <w:b/>
        </w:rPr>
        <w:t xml:space="preserve"> atto di costituzione di parte civile; </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richieste</w:t>
      </w:r>
      <w:proofErr w:type="gramEnd"/>
      <w:r>
        <w:rPr>
          <w:rFonts w:ascii="Times New Roman" w:hAnsi="Times New Roman"/>
          <w:b/>
        </w:rPr>
        <w:t xml:space="preserve"> di copie;</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istanza</w:t>
      </w:r>
      <w:proofErr w:type="gramEnd"/>
      <w:r>
        <w:rPr>
          <w:rFonts w:ascii="Times New Roman" w:hAnsi="Times New Roman"/>
          <w:b/>
        </w:rPr>
        <w:t xml:space="preserve"> di ammissione al patrocinio a spese dello Stato;</w:t>
      </w:r>
    </w:p>
    <w:p w:rsidR="00C45298" w:rsidRDefault="005F1401">
      <w:pPr>
        <w:numPr>
          <w:ilvl w:val="0"/>
          <w:numId w:val="3"/>
        </w:numPr>
        <w:spacing w:line="360" w:lineRule="auto"/>
        <w:jc w:val="both"/>
        <w:rPr>
          <w:rFonts w:ascii="Times New Roman" w:hAnsi="Times New Roman"/>
          <w:b/>
        </w:rPr>
      </w:pPr>
      <w:proofErr w:type="gramStart"/>
      <w:r>
        <w:rPr>
          <w:rFonts w:ascii="Times New Roman" w:hAnsi="Times New Roman"/>
          <w:b/>
        </w:rPr>
        <w:t>istanza</w:t>
      </w:r>
      <w:proofErr w:type="gramEnd"/>
      <w:r>
        <w:rPr>
          <w:rFonts w:ascii="Times New Roman" w:hAnsi="Times New Roman"/>
          <w:b/>
        </w:rPr>
        <w:t xml:space="preserve"> di liq</w:t>
      </w:r>
      <w:r>
        <w:rPr>
          <w:rFonts w:ascii="Times New Roman" w:hAnsi="Times New Roman"/>
          <w:b/>
        </w:rPr>
        <w:t>uidazione in materia di patrocinio a spese dello Stato e di difesa di ufficio</w:t>
      </w:r>
    </w:p>
    <w:p w:rsidR="00C45298" w:rsidRDefault="005F1401">
      <w:pPr>
        <w:spacing w:line="360" w:lineRule="auto"/>
        <w:jc w:val="center"/>
        <w:rPr>
          <w:rFonts w:ascii="Times New Roman" w:hAnsi="Times New Roman"/>
          <w:b/>
        </w:rPr>
      </w:pPr>
      <w:r>
        <w:rPr>
          <w:rFonts w:ascii="Times New Roman" w:hAnsi="Times New Roman"/>
          <w:b/>
        </w:rPr>
        <w:t>CON LE SEGUENTI MODALITA’</w:t>
      </w:r>
    </w:p>
    <w:p w:rsidR="00C45298" w:rsidRDefault="005F1401">
      <w:pPr>
        <w:numPr>
          <w:ilvl w:val="0"/>
          <w:numId w:val="2"/>
        </w:numPr>
        <w:spacing w:line="360" w:lineRule="auto"/>
        <w:ind w:hanging="360"/>
        <w:contextualSpacing/>
        <w:jc w:val="both"/>
        <w:rPr>
          <w:rFonts w:ascii="Times New Roman" w:hAnsi="Times New Roman"/>
          <w:szCs w:val="24"/>
        </w:rPr>
      </w:pPr>
      <w:proofErr w:type="gramStart"/>
      <w:r>
        <w:rPr>
          <w:rFonts w:ascii="Times New Roman" w:hAnsi="Times New Roman"/>
          <w:b/>
          <w:szCs w:val="24"/>
        </w:rPr>
        <w:t>tutti</w:t>
      </w:r>
      <w:proofErr w:type="gramEnd"/>
      <w:r>
        <w:rPr>
          <w:rFonts w:ascii="Times New Roman" w:hAnsi="Times New Roman"/>
          <w:b/>
          <w:szCs w:val="24"/>
        </w:rPr>
        <w:t xml:space="preserve"> gli atti per i quali è previsto il deposito materiale nelle cancellerie e segreterie </w:t>
      </w:r>
      <w:r>
        <w:rPr>
          <w:rFonts w:ascii="Times New Roman" w:hAnsi="Times New Roman"/>
          <w:szCs w:val="24"/>
        </w:rPr>
        <w:t>ai seguenti indirizzi PEC:</w:t>
      </w:r>
    </w:p>
    <w:p w:rsidR="00C45298" w:rsidRDefault="005F1401">
      <w:pPr>
        <w:numPr>
          <w:ilvl w:val="0"/>
          <w:numId w:val="1"/>
        </w:numPr>
        <w:shd w:val="clear" w:color="auto" w:fill="FFFFFF"/>
        <w:tabs>
          <w:tab w:val="left" w:pos="0"/>
        </w:tabs>
        <w:spacing w:line="360" w:lineRule="auto"/>
        <w:ind w:hanging="360"/>
        <w:contextualSpacing/>
        <w:jc w:val="both"/>
        <w:rPr>
          <w:b/>
          <w:szCs w:val="24"/>
        </w:rPr>
      </w:pPr>
      <w:proofErr w:type="gramStart"/>
      <w:r>
        <w:rPr>
          <w:rFonts w:ascii="Times New Roman" w:hAnsi="Times New Roman"/>
          <w:b/>
          <w:szCs w:val="24"/>
        </w:rPr>
        <w:t>per</w:t>
      </w:r>
      <w:proofErr w:type="gramEnd"/>
      <w:r>
        <w:rPr>
          <w:rFonts w:ascii="Times New Roman" w:hAnsi="Times New Roman"/>
          <w:b/>
          <w:szCs w:val="24"/>
        </w:rPr>
        <w:t xml:space="preserve"> Procura della Repubblica presso il Tribunale di Rieti </w:t>
      </w:r>
      <w:hyperlink r:id="rId5">
        <w:r>
          <w:rPr>
            <w:rFonts w:eastAsia="Calibri" w:cs="Calibri"/>
            <w:szCs w:val="24"/>
            <w:u w:val="single"/>
          </w:rPr>
          <w:t>dirigente.procura.rieti@giustiziacert.it</w:t>
        </w:r>
      </w:hyperlink>
    </w:p>
    <w:p w:rsidR="00C45298" w:rsidRDefault="005F1401">
      <w:pPr>
        <w:numPr>
          <w:ilvl w:val="0"/>
          <w:numId w:val="1"/>
        </w:numPr>
        <w:shd w:val="clear" w:color="auto" w:fill="FFFFFF"/>
        <w:tabs>
          <w:tab w:val="left" w:pos="0"/>
        </w:tabs>
        <w:spacing w:line="360" w:lineRule="auto"/>
        <w:ind w:hanging="360"/>
        <w:contextualSpacing/>
        <w:jc w:val="both"/>
        <w:rPr>
          <w:b/>
          <w:szCs w:val="24"/>
        </w:rPr>
      </w:pPr>
      <w:proofErr w:type="gramStart"/>
      <w:r>
        <w:rPr>
          <w:rFonts w:ascii="Times New Roman" w:hAnsi="Times New Roman"/>
          <w:b/>
          <w:szCs w:val="24"/>
        </w:rPr>
        <w:t>per</w:t>
      </w:r>
      <w:proofErr w:type="gramEnd"/>
      <w:r>
        <w:rPr>
          <w:rFonts w:ascii="Times New Roman" w:hAnsi="Times New Roman"/>
          <w:b/>
          <w:szCs w:val="24"/>
        </w:rPr>
        <w:t xml:space="preserve"> dibattimento Tribunale di Rieti </w:t>
      </w:r>
      <w:r>
        <w:rPr>
          <w:rFonts w:ascii="Times New Roman" w:hAnsi="Times New Roman"/>
          <w:szCs w:val="24"/>
        </w:rPr>
        <w:t xml:space="preserve">: </w:t>
      </w:r>
      <w:hyperlink r:id="rId6">
        <w:r>
          <w:rPr>
            <w:rFonts w:ascii="Times New Roman" w:hAnsi="Times New Roman"/>
            <w:szCs w:val="24"/>
            <w:u w:val="single"/>
          </w:rPr>
          <w:t>dibattimento.tribunale.rieti@giustiziacert.it</w:t>
        </w:r>
      </w:hyperlink>
    </w:p>
    <w:p w:rsidR="00C45298" w:rsidRDefault="005F1401">
      <w:pPr>
        <w:numPr>
          <w:ilvl w:val="0"/>
          <w:numId w:val="1"/>
        </w:numPr>
        <w:shd w:val="clear" w:color="auto" w:fill="FFFFFF"/>
        <w:tabs>
          <w:tab w:val="left" w:pos="0"/>
        </w:tabs>
        <w:spacing w:line="360" w:lineRule="auto"/>
        <w:ind w:hanging="360"/>
        <w:contextualSpacing/>
        <w:jc w:val="both"/>
        <w:rPr>
          <w:b/>
          <w:szCs w:val="24"/>
        </w:rPr>
      </w:pPr>
      <w:proofErr w:type="gramStart"/>
      <w:r>
        <w:rPr>
          <w:rFonts w:ascii="Times New Roman" w:hAnsi="Times New Roman"/>
          <w:b/>
          <w:szCs w:val="24"/>
        </w:rPr>
        <w:t>per</w:t>
      </w:r>
      <w:proofErr w:type="gramEnd"/>
      <w:r>
        <w:rPr>
          <w:rFonts w:ascii="Times New Roman" w:hAnsi="Times New Roman"/>
          <w:b/>
          <w:szCs w:val="24"/>
        </w:rPr>
        <w:t xml:space="preserve"> GIP/GUP presso il Tribunale di Rieti </w:t>
      </w:r>
      <w:r>
        <w:rPr>
          <w:rFonts w:ascii="Times New Roman" w:hAnsi="Times New Roman"/>
          <w:szCs w:val="24"/>
        </w:rPr>
        <w:t xml:space="preserve">: </w:t>
      </w:r>
      <w:hyperlink r:id="rId7">
        <w:r>
          <w:rPr>
            <w:rFonts w:eastAsia="Calibri" w:cs="Calibri"/>
            <w:szCs w:val="24"/>
            <w:u w:val="single"/>
          </w:rPr>
          <w:t>gip.tribunale.rieti@giustiziacert.it</w:t>
        </w:r>
      </w:hyperlink>
    </w:p>
    <w:p w:rsidR="00C45298" w:rsidRDefault="005F1401">
      <w:pPr>
        <w:numPr>
          <w:ilvl w:val="0"/>
          <w:numId w:val="1"/>
        </w:numPr>
        <w:shd w:val="clear" w:color="auto" w:fill="FFFFFF"/>
        <w:tabs>
          <w:tab w:val="left" w:pos="0"/>
        </w:tabs>
        <w:spacing w:line="360" w:lineRule="auto"/>
        <w:ind w:hanging="360"/>
        <w:contextualSpacing/>
        <w:jc w:val="both"/>
        <w:rPr>
          <w:b/>
          <w:szCs w:val="24"/>
        </w:rPr>
      </w:pPr>
      <w:proofErr w:type="gramStart"/>
      <w:r>
        <w:rPr>
          <w:rFonts w:ascii="Times New Roman" w:hAnsi="Times New Roman"/>
          <w:b/>
          <w:szCs w:val="24"/>
        </w:rPr>
        <w:t>per</w:t>
      </w:r>
      <w:proofErr w:type="gramEnd"/>
      <w:r>
        <w:rPr>
          <w:rFonts w:ascii="Times New Roman" w:hAnsi="Times New Roman"/>
          <w:b/>
          <w:szCs w:val="24"/>
        </w:rPr>
        <w:t xml:space="preserve"> Giudice di Pace di Rieti</w:t>
      </w:r>
      <w:r>
        <w:rPr>
          <w:rFonts w:ascii="Times New Roman" w:hAnsi="Times New Roman"/>
          <w:szCs w:val="24"/>
        </w:rPr>
        <w:t xml:space="preserve">:  </w:t>
      </w:r>
      <w:hyperlink r:id="rId8">
        <w:r>
          <w:rPr>
            <w:rFonts w:ascii="apple-system" w:eastAsia="apple-system" w:hAnsi="apple-system" w:cs="apple-system"/>
            <w:sz w:val="20"/>
            <w:u w:val="single"/>
          </w:rPr>
          <w:t>gdp.rieti@giustiziacert.it</w:t>
        </w:r>
      </w:hyperlink>
    </w:p>
    <w:p w:rsidR="00C45298" w:rsidRDefault="005F1401">
      <w:pPr>
        <w:numPr>
          <w:ilvl w:val="0"/>
          <w:numId w:val="1"/>
        </w:numPr>
        <w:shd w:val="clear" w:color="auto" w:fill="FFFFFF"/>
        <w:tabs>
          <w:tab w:val="left" w:pos="0"/>
        </w:tabs>
        <w:spacing w:line="360" w:lineRule="auto"/>
        <w:ind w:hanging="360"/>
        <w:contextualSpacing/>
        <w:jc w:val="both"/>
        <w:rPr>
          <w:b/>
          <w:szCs w:val="24"/>
        </w:rPr>
      </w:pPr>
      <w:proofErr w:type="gramStart"/>
      <w:r>
        <w:rPr>
          <w:rFonts w:ascii="Times New Roman" w:hAnsi="Times New Roman"/>
          <w:b/>
          <w:szCs w:val="24"/>
        </w:rPr>
        <w:t>per</w:t>
      </w:r>
      <w:proofErr w:type="gramEnd"/>
      <w:r>
        <w:rPr>
          <w:rFonts w:ascii="Times New Roman" w:hAnsi="Times New Roman"/>
          <w:b/>
          <w:szCs w:val="24"/>
        </w:rPr>
        <w:t xml:space="preserve"> Giudice di Pace di Poggio Mirteto </w:t>
      </w:r>
      <w:hyperlink r:id="rId9">
        <w:r>
          <w:rPr>
            <w:rFonts w:ascii="apple-system" w:eastAsia="apple-system" w:hAnsi="apple-system" w:cs="apple-system"/>
            <w:sz w:val="20"/>
            <w:u w:val="single"/>
          </w:rPr>
          <w:t>gdp.poggiomirteto@giustiziacert.it</w:t>
        </w:r>
      </w:hyperlink>
      <w:r>
        <w:rPr>
          <w:rFonts w:ascii="Times New Roman" w:hAnsi="Times New Roman"/>
          <w:b/>
          <w:szCs w:val="24"/>
        </w:rPr>
        <w:t xml:space="preserve"> </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I difensori sono tenuti ad utilizzare per l'invio la propria casella PEC risultante dal</w:t>
      </w:r>
      <w:r>
        <w:rPr>
          <w:rFonts w:ascii="Times New Roman" w:hAnsi="Times New Roman"/>
          <w:szCs w:val="24"/>
        </w:rPr>
        <w:t xml:space="preserve"> </w:t>
      </w:r>
      <w:proofErr w:type="spellStart"/>
      <w:r>
        <w:rPr>
          <w:rFonts w:ascii="Times New Roman" w:hAnsi="Times New Roman"/>
          <w:szCs w:val="24"/>
        </w:rPr>
        <w:t>Reginde</w:t>
      </w:r>
      <w:proofErr w:type="spellEnd"/>
      <w:r>
        <w:rPr>
          <w:rFonts w:ascii="Times New Roman" w:hAnsi="Times New Roman"/>
          <w:szCs w:val="24"/>
        </w:rPr>
        <w:t>;</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L'atto sottoscritto e successivamente scansionato in formato pdf, da allegare alla PEC, dovrà indicare l'ufficio cui è destinato, il numero del procedimento, il nominativo dell'imputato/indagato o dell'istante, l'udienza di rinvio ed ogni altro elemento ri</w:t>
      </w:r>
      <w:r>
        <w:rPr>
          <w:rFonts w:ascii="Times New Roman" w:hAnsi="Times New Roman"/>
          <w:szCs w:val="24"/>
        </w:rPr>
        <w:t xml:space="preserve">tenuto utile ad individuare il procedimento cui si riferisce, così come in formato PDF dovranno essere </w:t>
      </w:r>
      <w:r>
        <w:rPr>
          <w:rFonts w:ascii="Times New Roman" w:hAnsi="Times New Roman"/>
          <w:szCs w:val="24"/>
        </w:rPr>
        <w:lastRenderedPageBreak/>
        <w:t>allegati eventuali documenti;</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 xml:space="preserve">In caso di nomina </w:t>
      </w:r>
      <w:proofErr w:type="gramStart"/>
      <w:r>
        <w:rPr>
          <w:rFonts w:ascii="Times New Roman" w:hAnsi="Times New Roman"/>
          <w:szCs w:val="24"/>
        </w:rPr>
        <w:t>defensionale  conferita</w:t>
      </w:r>
      <w:proofErr w:type="gramEnd"/>
      <w:r>
        <w:rPr>
          <w:rFonts w:ascii="Times New Roman" w:hAnsi="Times New Roman"/>
          <w:szCs w:val="24"/>
        </w:rPr>
        <w:t xml:space="preserve"> per l’espletamento degli atti di cui sopra,  anche la nomina sarà allegata in for</w:t>
      </w:r>
      <w:r>
        <w:rPr>
          <w:rFonts w:ascii="Times New Roman" w:hAnsi="Times New Roman"/>
          <w:szCs w:val="24"/>
        </w:rPr>
        <w:t xml:space="preserve">mato PDF;  </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Nella PEC dovranno essere comunque indicati la natura dell'istanza, il numero del procedimento, nome e cognome dell'imputato/indagato o dell'istante, nonché, ove conosciuti, il Giudice assegnatario e la data della successiva udienza;</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La cancell</w:t>
      </w:r>
      <w:r>
        <w:rPr>
          <w:rFonts w:ascii="Times New Roman" w:hAnsi="Times New Roman"/>
          <w:szCs w:val="24"/>
        </w:rPr>
        <w:t>eria ricevente assicurerà l’inserimento immediato dell’atto nel relativo fascicolo;</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 xml:space="preserve">Le cancellerie trasmetteranno le copie richieste all’indirizzo PEC del richiedente, </w:t>
      </w:r>
    </w:p>
    <w:p w:rsidR="00C45298" w:rsidRDefault="005F1401">
      <w:pPr>
        <w:shd w:val="clear" w:color="auto" w:fill="FFFFFF"/>
        <w:tabs>
          <w:tab w:val="left" w:pos="0"/>
        </w:tabs>
        <w:spacing w:line="360" w:lineRule="auto"/>
        <w:ind w:left="1800"/>
        <w:jc w:val="both"/>
        <w:rPr>
          <w:rFonts w:ascii="Times New Roman" w:hAnsi="Times New Roman"/>
          <w:szCs w:val="24"/>
        </w:rPr>
      </w:pPr>
      <w:r>
        <w:rPr>
          <w:rFonts w:ascii="Times New Roman" w:hAnsi="Times New Roman"/>
          <w:szCs w:val="24"/>
        </w:rPr>
        <w:t>G.1) a vista nel caso di processi per direttissima;</w:t>
      </w:r>
    </w:p>
    <w:p w:rsidR="00C45298" w:rsidRDefault="005F1401">
      <w:pPr>
        <w:shd w:val="clear" w:color="auto" w:fill="FFFFFF"/>
        <w:tabs>
          <w:tab w:val="left" w:pos="0"/>
        </w:tabs>
        <w:spacing w:line="360" w:lineRule="auto"/>
        <w:ind w:left="1800"/>
        <w:jc w:val="both"/>
        <w:rPr>
          <w:rFonts w:ascii="Times New Roman" w:hAnsi="Times New Roman"/>
          <w:szCs w:val="24"/>
        </w:rPr>
      </w:pPr>
      <w:bookmarkStart w:id="1" w:name="_gjdgxs" w:colFirst="0" w:colLast="0"/>
      <w:bookmarkEnd w:id="1"/>
      <w:r>
        <w:rPr>
          <w:rFonts w:ascii="Times New Roman" w:hAnsi="Times New Roman"/>
          <w:szCs w:val="24"/>
        </w:rPr>
        <w:t xml:space="preserve">G.2) nel termine di giorni 4 dalla </w:t>
      </w:r>
      <w:r>
        <w:rPr>
          <w:rFonts w:ascii="Times New Roman" w:hAnsi="Times New Roman"/>
          <w:szCs w:val="24"/>
        </w:rPr>
        <w:t xml:space="preserve">ricezione della richiesta nei casi di urgenza, da intendersi applicabile a tutti i procedimenti/processi ed attività difensive in cui i termini non risultino sospesi, ex art. 83 c. 3 </w:t>
      </w:r>
      <w:proofErr w:type="spellStart"/>
      <w:r>
        <w:rPr>
          <w:rFonts w:ascii="Times New Roman" w:hAnsi="Times New Roman"/>
          <w:szCs w:val="24"/>
        </w:rPr>
        <w:t>lett</w:t>
      </w:r>
      <w:proofErr w:type="spellEnd"/>
      <w:r>
        <w:rPr>
          <w:rFonts w:ascii="Times New Roman" w:hAnsi="Times New Roman"/>
          <w:szCs w:val="24"/>
        </w:rPr>
        <w:t xml:space="preserve">. B) n. 1-2-3- e </w:t>
      </w:r>
      <w:proofErr w:type="spellStart"/>
      <w:r>
        <w:rPr>
          <w:rFonts w:ascii="Times New Roman" w:hAnsi="Times New Roman"/>
          <w:szCs w:val="24"/>
        </w:rPr>
        <w:t>lett</w:t>
      </w:r>
      <w:proofErr w:type="spellEnd"/>
      <w:r>
        <w:rPr>
          <w:rFonts w:ascii="Times New Roman" w:hAnsi="Times New Roman"/>
          <w:szCs w:val="24"/>
        </w:rPr>
        <w:t xml:space="preserve">. C), D.L. 17 marzo 2020 n. </w:t>
      </w:r>
      <w:proofErr w:type="gramStart"/>
      <w:r>
        <w:rPr>
          <w:rFonts w:ascii="Times New Roman" w:hAnsi="Times New Roman"/>
          <w:szCs w:val="24"/>
        </w:rPr>
        <w:t>18 ;</w:t>
      </w:r>
      <w:proofErr w:type="gramEnd"/>
    </w:p>
    <w:p w:rsidR="00C45298" w:rsidRDefault="005F1401">
      <w:pPr>
        <w:shd w:val="clear" w:color="auto" w:fill="FFFFFF"/>
        <w:tabs>
          <w:tab w:val="left" w:pos="0"/>
        </w:tabs>
        <w:spacing w:line="360" w:lineRule="auto"/>
        <w:ind w:left="1800"/>
        <w:jc w:val="both"/>
        <w:rPr>
          <w:rFonts w:ascii="Times New Roman" w:hAnsi="Times New Roman"/>
          <w:szCs w:val="24"/>
        </w:rPr>
      </w:pPr>
      <w:r>
        <w:rPr>
          <w:rFonts w:ascii="Times New Roman" w:hAnsi="Times New Roman"/>
          <w:szCs w:val="24"/>
        </w:rPr>
        <w:t>G.3) per i proc</w:t>
      </w:r>
      <w:r>
        <w:rPr>
          <w:rFonts w:ascii="Times New Roman" w:hAnsi="Times New Roman"/>
          <w:szCs w:val="24"/>
        </w:rPr>
        <w:t>edimenti/processi soggetti a sospensione dei termini le Cancellerie del Tribunale (e del Gip) si impegnano a rilasciare le copie entro giorni quattro dalla presentazione dell’istanza mentre gli Uffici della Procura della Repubblica entro giorni dieci.</w:t>
      </w:r>
    </w:p>
    <w:p w:rsidR="00C45298" w:rsidRDefault="00C45298">
      <w:pPr>
        <w:shd w:val="clear" w:color="auto" w:fill="FFFFFF"/>
        <w:tabs>
          <w:tab w:val="left" w:pos="0"/>
        </w:tabs>
        <w:spacing w:line="360" w:lineRule="auto"/>
        <w:ind w:left="1800"/>
        <w:jc w:val="both"/>
        <w:rPr>
          <w:rFonts w:ascii="Times New Roman" w:hAnsi="Times New Roman"/>
          <w:szCs w:val="24"/>
        </w:rPr>
      </w:pP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Nel</w:t>
      </w:r>
      <w:r>
        <w:rPr>
          <w:rFonts w:ascii="Times New Roman" w:hAnsi="Times New Roman"/>
          <w:szCs w:val="24"/>
        </w:rPr>
        <w:t xml:space="preserve"> caso in cui il richiedente conosca già l'importo dei diritti di copia, allegherà al modulo di richiesta la prova del relativo pagamento mentre, in caso contrario, l'ufficio  comunicherà detto importo al richiedente e sarà tenuto all'inoltro delle copie vi</w:t>
      </w:r>
      <w:r>
        <w:rPr>
          <w:rFonts w:ascii="Times New Roman" w:hAnsi="Times New Roman"/>
          <w:szCs w:val="24"/>
        </w:rPr>
        <w:t xml:space="preserve">a </w:t>
      </w:r>
      <w:proofErr w:type="spellStart"/>
      <w:r>
        <w:rPr>
          <w:rFonts w:ascii="Times New Roman" w:hAnsi="Times New Roman"/>
          <w:szCs w:val="24"/>
        </w:rPr>
        <w:t>pec</w:t>
      </w:r>
      <w:proofErr w:type="spellEnd"/>
      <w:r>
        <w:rPr>
          <w:rFonts w:ascii="Times New Roman" w:hAnsi="Times New Roman"/>
          <w:szCs w:val="24"/>
        </w:rPr>
        <w:t xml:space="preserve"> solo a ricevimento avvenuto della  prova del pagamento dei diritti di copia (</w:t>
      </w:r>
      <w:r>
        <w:rPr>
          <w:rFonts w:ascii="Times New Roman" w:hAnsi="Times New Roman"/>
          <w:i/>
          <w:szCs w:val="24"/>
        </w:rPr>
        <w:t>Il pagamento dei diritti di copia potrà avvenire tramite applicazione dei bolli relativi, previo loro annullo, sul modulo di richiesta copia, tramite F24, ovvero ai sensi de</w:t>
      </w:r>
      <w:r>
        <w:rPr>
          <w:rFonts w:ascii="Times New Roman" w:hAnsi="Times New Roman"/>
          <w:i/>
          <w:szCs w:val="24"/>
        </w:rPr>
        <w:t>gli articoli 30 e seguenti DM. 44 del 2011</w:t>
      </w:r>
    </w:p>
    <w:p w:rsidR="00C45298" w:rsidRDefault="005F1401">
      <w:pPr>
        <w:numPr>
          <w:ilvl w:val="0"/>
          <w:numId w:val="2"/>
        </w:numPr>
        <w:shd w:val="clear" w:color="auto" w:fill="FFFFFF"/>
        <w:tabs>
          <w:tab w:val="left" w:pos="0"/>
        </w:tabs>
        <w:spacing w:line="360" w:lineRule="auto"/>
        <w:ind w:hanging="360"/>
        <w:contextualSpacing/>
        <w:jc w:val="both"/>
        <w:rPr>
          <w:rFonts w:ascii="Times New Roman" w:hAnsi="Times New Roman"/>
          <w:szCs w:val="24"/>
        </w:rPr>
      </w:pPr>
      <w:r>
        <w:rPr>
          <w:rFonts w:ascii="Times New Roman" w:hAnsi="Times New Roman"/>
          <w:szCs w:val="24"/>
        </w:rPr>
        <w:t xml:space="preserve">L'accesso al Tribunale ed agli Uffici del Giudice di Pace sarà consentito alle parti necessarie di procedimenti in trattazione o che devono compiere atti urgenti </w:t>
      </w:r>
      <w:proofErr w:type="spellStart"/>
      <w:r>
        <w:rPr>
          <w:rFonts w:ascii="Times New Roman" w:hAnsi="Times New Roman"/>
          <w:szCs w:val="24"/>
        </w:rPr>
        <w:t>ed</w:t>
      </w:r>
      <w:proofErr w:type="spellEnd"/>
      <w:r>
        <w:rPr>
          <w:rFonts w:ascii="Times New Roman" w:hAnsi="Times New Roman"/>
          <w:szCs w:val="24"/>
        </w:rPr>
        <w:t xml:space="preserve"> indifferibili per i quali non è possibile proced</w:t>
      </w:r>
      <w:r>
        <w:rPr>
          <w:rFonts w:ascii="Times New Roman" w:hAnsi="Times New Roman"/>
          <w:szCs w:val="24"/>
        </w:rPr>
        <w:t>ere ai sensi del presente protocollo.</w:t>
      </w:r>
    </w:p>
    <w:p w:rsidR="00C45298" w:rsidRDefault="005F1401">
      <w:pPr>
        <w:spacing w:line="360" w:lineRule="auto"/>
        <w:ind w:right="49"/>
        <w:jc w:val="both"/>
        <w:rPr>
          <w:rFonts w:ascii="Times New Roman" w:hAnsi="Times New Roman"/>
        </w:rPr>
      </w:pPr>
      <w:r>
        <w:rPr>
          <w:rFonts w:ascii="Times New Roman" w:hAnsi="Times New Roman"/>
        </w:rPr>
        <w:tab/>
      </w:r>
    </w:p>
    <w:p w:rsidR="00C45298" w:rsidRDefault="005F1401">
      <w:pPr>
        <w:spacing w:line="360" w:lineRule="auto"/>
        <w:ind w:right="49"/>
        <w:jc w:val="both"/>
        <w:rPr>
          <w:rFonts w:ascii="Times New Roman" w:hAnsi="Times New Roman"/>
        </w:rPr>
      </w:pPr>
      <w:r>
        <w:rPr>
          <w:rFonts w:ascii="Times New Roman" w:hAnsi="Times New Roman"/>
        </w:rPr>
        <w:tab/>
      </w:r>
      <w:r>
        <w:rPr>
          <w:rFonts w:ascii="Times New Roman" w:hAnsi="Times New Roman"/>
        </w:rPr>
        <w:t xml:space="preserve">Il presente protocollo viene inviato al Sig. Presidente della Corte di Appello di Roma per </w:t>
      </w:r>
      <w:proofErr w:type="gramStart"/>
      <w:r>
        <w:rPr>
          <w:rFonts w:ascii="Times New Roman" w:hAnsi="Times New Roman"/>
        </w:rPr>
        <w:t>il  suo</w:t>
      </w:r>
      <w:proofErr w:type="gramEnd"/>
      <w:r>
        <w:rPr>
          <w:rFonts w:ascii="Times New Roman" w:hAnsi="Times New Roman"/>
        </w:rPr>
        <w:t xml:space="preserve"> parere relativamente alle modalità adottate da questo protocollo ed in particolare a quelle di cui al punto 5) in tema di appelli.</w:t>
      </w:r>
    </w:p>
    <w:p w:rsidR="00C45298" w:rsidRDefault="005F1401">
      <w:pPr>
        <w:spacing w:line="360" w:lineRule="auto"/>
        <w:ind w:right="49"/>
        <w:rPr>
          <w:rFonts w:ascii="Times New Roman" w:hAnsi="Times New Roman"/>
        </w:rPr>
      </w:pPr>
      <w:r>
        <w:rPr>
          <w:rFonts w:ascii="Times New Roman" w:hAnsi="Times New Roman"/>
        </w:rPr>
        <w:t>Rieti,</w:t>
      </w:r>
    </w:p>
    <w:p w:rsidR="00C45298" w:rsidRDefault="00C45298">
      <w:pPr>
        <w:tabs>
          <w:tab w:val="left" w:pos="9356"/>
        </w:tabs>
        <w:spacing w:line="480" w:lineRule="auto"/>
        <w:ind w:right="49"/>
        <w:rPr>
          <w:rFonts w:ascii="Times New Roman" w:hAnsi="Times New Roman"/>
        </w:rPr>
      </w:pPr>
      <w:bookmarkStart w:id="2" w:name="_30j0zll" w:colFirst="0" w:colLast="0"/>
      <w:bookmarkEnd w:id="2"/>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C45298">
      <w:pPr>
        <w:tabs>
          <w:tab w:val="left" w:pos="9356"/>
        </w:tabs>
        <w:spacing w:line="480" w:lineRule="auto"/>
        <w:ind w:right="49"/>
        <w:rPr>
          <w:rFonts w:ascii="Times New Roman" w:hAnsi="Times New Roman"/>
        </w:rPr>
      </w:pPr>
    </w:p>
    <w:p w:rsidR="00C45298" w:rsidRDefault="005F1401">
      <w:pPr>
        <w:tabs>
          <w:tab w:val="left" w:pos="9356"/>
        </w:tabs>
        <w:spacing w:line="480" w:lineRule="auto"/>
        <w:ind w:right="49"/>
      </w:pPr>
      <w:r>
        <w:rPr>
          <w:rFonts w:ascii="Times New Roman" w:hAnsi="Times New Roman"/>
        </w:rPr>
        <w:t xml:space="preserve">     </w:t>
      </w:r>
    </w:p>
    <w:sectPr w:rsidR="00C45298">
      <w:pgSz w:w="11906" w:h="16838"/>
      <w:pgMar w:top="1417"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pple-system">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9707E"/>
    <w:multiLevelType w:val="multilevel"/>
    <w:tmpl w:val="B9126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7AD34FE"/>
    <w:multiLevelType w:val="multilevel"/>
    <w:tmpl w:val="6E90F7FA"/>
    <w:lvl w:ilvl="0">
      <w:start w:val="1"/>
      <w:numFmt w:val="upperLetter"/>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EB72B34"/>
    <w:multiLevelType w:val="multilevel"/>
    <w:tmpl w:val="55AE561A"/>
    <w:lvl w:ilvl="0">
      <w:start w:val="1"/>
      <w:numFmt w:val="decimal"/>
      <w:lvlText w:val="%1)"/>
      <w:lvlJc w:val="left"/>
      <w:pPr>
        <w:ind w:left="0" w:firstLine="0"/>
      </w:pPr>
    </w:lvl>
    <w:lvl w:ilvl="1">
      <w:start w:val="1"/>
      <w:numFmt w:val="lowerLetter"/>
      <w:lvlText w:val="%2)"/>
      <w:lvlJc w:val="left"/>
      <w:pPr>
        <w:ind w:left="1440" w:firstLine="1080"/>
      </w:pPr>
      <w:rPr>
        <w:b w:val="0"/>
      </w:rPr>
    </w:lvl>
    <w:lvl w:ilvl="2">
      <w:start w:val="1"/>
      <w:numFmt w:val="upperLetter"/>
      <w:lvlText w:val="%3)"/>
      <w:lvlJc w:val="left"/>
      <w:pPr>
        <w:ind w:left="2160" w:firstLine="1800"/>
      </w:p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98"/>
    <w:rsid w:val="005F1401"/>
    <w:rsid w:val="00C45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5E491-547A-4070-A05A-3E585EE9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it-IT" w:eastAsia="it-IT" w:bidi="ar-SA"/>
      </w:rPr>
    </w:rPrDefault>
    <w:pPrDefault>
      <w:pPr>
        <w:widowControl w:val="0"/>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3418"/>
    <w:pPr>
      <w:suppressAutoHyphens/>
      <w:overflowPunct w:val="0"/>
      <w:autoSpaceDE w:val="0"/>
      <w:autoSpaceDN w:val="0"/>
      <w:adjustRightInd w:val="0"/>
      <w:spacing w:line="100" w:lineRule="atLeast"/>
    </w:pPr>
    <w:rPr>
      <w:rFonts w:eastAsia="Times New Roman" w:cs="Times New Roman"/>
      <w:kern w:val="2"/>
      <w:szCs w:val="20"/>
    </w:rPr>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character" w:styleId="Collegamentoipertestuale">
    <w:name w:val="Hyperlink"/>
    <w:unhideWhenUsed/>
    <w:rsid w:val="005F3418"/>
    <w:rPr>
      <w:color w:val="000080"/>
      <w:u w:val="single"/>
    </w:rPr>
  </w:style>
  <w:style w:type="paragraph" w:styleId="Paragrafoelenco">
    <w:name w:val="List Paragraph"/>
    <w:basedOn w:val="Normale"/>
    <w:uiPriority w:val="34"/>
    <w:qFormat/>
    <w:rsid w:val="00402CA8"/>
    <w:pPr>
      <w:ind w:left="720"/>
      <w:contextualSpacing/>
    </w:pPr>
  </w:style>
  <w:style w:type="character" w:customStyle="1" w:styleId="Menzionenonrisolta1">
    <w:name w:val="Menzione non risolta1"/>
    <w:basedOn w:val="Carpredefinitoparagrafo"/>
    <w:uiPriority w:val="99"/>
    <w:semiHidden/>
    <w:unhideWhenUsed/>
    <w:rsid w:val="00AF7E24"/>
    <w:rPr>
      <w:color w:val="605E5C"/>
      <w:shd w:val="clear" w:color="auto" w:fill="E1DFDD"/>
    </w:rPr>
  </w:style>
  <w:style w:type="character" w:customStyle="1" w:styleId="UnresolvedMention">
    <w:name w:val="Unresolved Mention"/>
    <w:basedOn w:val="Carpredefinitoparagrafo"/>
    <w:uiPriority w:val="99"/>
    <w:semiHidden/>
    <w:unhideWhenUsed/>
    <w:rsid w:val="008E23D7"/>
    <w:rPr>
      <w:color w:val="605E5C"/>
      <w:shd w:val="clear" w:color="auto" w:fill="E1DFDD"/>
    </w:rPr>
  </w:style>
  <w:style w:type="character" w:styleId="Collegamentovisitato">
    <w:name w:val="FollowedHyperlink"/>
    <w:basedOn w:val="Carpredefinitoparagrafo"/>
    <w:uiPriority w:val="99"/>
    <w:semiHidden/>
    <w:unhideWhenUsed/>
    <w:rsid w:val="00791503"/>
    <w:rPr>
      <w:color w:val="954F72" w:themeColor="followedHyperlink"/>
      <w:u w:val="single"/>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dp.rieti@giustiziacert.it" TargetMode="External"/><Relationship Id="rId3" Type="http://schemas.openxmlformats.org/officeDocument/2006/relationships/settings" Target="settings.xml"/><Relationship Id="rId7" Type="http://schemas.openxmlformats.org/officeDocument/2006/relationships/hyperlink" Target="mailto:gip.tribunale.rieti@giustiziacer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battimento.tribunale.rieti@giustiziacert.it" TargetMode="External"/><Relationship Id="rId11" Type="http://schemas.openxmlformats.org/officeDocument/2006/relationships/theme" Target="theme/theme1.xml"/><Relationship Id="rId5" Type="http://schemas.openxmlformats.org/officeDocument/2006/relationships/hyperlink" Target="mailto:dirigente.procura.rieti@giustiziacert.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5466</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2020-03-24T18:58:00Z</dcterms:created>
  <dcterms:modified xsi:type="dcterms:W3CDTF">2020-03-24T18:58:00Z</dcterms:modified>
</cp:coreProperties>
</file>